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061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786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масла" (с изменениями и дополнениями)</w:t>
        </w:r>
      </w:hyperlink>
    </w:p>
    <w:p w:rsidR="00000000" w:rsidRDefault="00E10611">
      <w:pPr>
        <w:pStyle w:val="1"/>
      </w:pPr>
      <w:r>
        <w:t xml:space="preserve">Приказ Министерства образования и науки РФ от 2 августа </w:t>
      </w:r>
      <w:r>
        <w:t>2013 г. N 786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масла"</w:t>
      </w:r>
    </w:p>
    <w:p w:rsidR="00000000" w:rsidRDefault="00E10611">
      <w:pPr>
        <w:pStyle w:val="ab"/>
      </w:pPr>
      <w:r>
        <w:t>С изменениями и дополнениями от:</w:t>
      </w:r>
    </w:p>
    <w:p w:rsidR="00000000" w:rsidRDefault="00E1061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10611"/>
    <w:p w:rsidR="00000000" w:rsidRDefault="00E10611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E1061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260207.01 Аппаратчик получения растительного масла.</w:t>
      </w:r>
    </w:p>
    <w:p w:rsidR="00000000" w:rsidRDefault="00E10611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</w:t>
      </w:r>
      <w:r>
        <w:t>едерации от 24 июня 2010 г. N 699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260207.01 Аппаратчик получения растительного масла" (зарегистрирован Мини</w:t>
      </w:r>
      <w:r>
        <w:t>стерством юстиции Российской Федерации 23 июля 2010 г., регистрационный N 17970).</w:t>
      </w:r>
    </w:p>
    <w:p w:rsidR="00000000" w:rsidRDefault="00E10611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E1061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right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E10611"/>
    <w:p w:rsidR="00000000" w:rsidRDefault="00E10611">
      <w:pPr>
        <w:pStyle w:val="ac"/>
      </w:pPr>
      <w:r>
        <w:t>Зарегистрировано в Минюсте РФ 20 августа 2013 г.</w:t>
      </w:r>
    </w:p>
    <w:p w:rsidR="00000000" w:rsidRDefault="00E10611">
      <w:pPr>
        <w:pStyle w:val="ac"/>
      </w:pPr>
      <w:r>
        <w:t>Регистрационный N 29639</w:t>
      </w:r>
    </w:p>
    <w:p w:rsidR="00000000" w:rsidRDefault="00E10611"/>
    <w:p w:rsidR="00000000" w:rsidRDefault="00E1061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E10611"/>
    <w:p w:rsidR="00000000" w:rsidRDefault="00E10611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260207.01 Аппаратчик получения растительного масла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</w:t>
      </w:r>
      <w:r>
        <w:t>Ф от 2 августа 2013 г. N 786)</w:t>
      </w:r>
    </w:p>
    <w:p w:rsidR="00000000" w:rsidRDefault="00E10611">
      <w:pPr>
        <w:pStyle w:val="ab"/>
      </w:pPr>
      <w:r>
        <w:t>С изменениями и дополнениями от:</w:t>
      </w:r>
    </w:p>
    <w:p w:rsidR="00000000" w:rsidRDefault="00E1061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1061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1061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10611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E10611"/>
    <w:p w:rsidR="00000000" w:rsidRDefault="00E10611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260207.01 Аппаратчик пол</w:t>
      </w:r>
      <w:r>
        <w:t xml:space="preserve">учения растительного масла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</w:t>
      </w:r>
      <w:r>
        <w:t xml:space="preserve"> данной профессии, на территории Российской Федерации (далее - образовательная организация).</w:t>
      </w:r>
    </w:p>
    <w:p w:rsidR="00000000" w:rsidRDefault="00E10611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260207.01 Аппаратчик получения растительного масла имеет</w:t>
      </w:r>
      <w:r>
        <w:t xml:space="preserve">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E10611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</w:t>
      </w:r>
      <w:r>
        <w:t xml:space="preserve">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</w:t>
      </w:r>
      <w:r>
        <w:t>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E10611"/>
    <w:p w:rsidR="00000000" w:rsidRDefault="00E10611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E10611"/>
    <w:p w:rsidR="00000000" w:rsidRDefault="00E10611">
      <w:r>
        <w:t>В настоящем стандарте используются следующие сокращения:</w:t>
      </w:r>
    </w:p>
    <w:p w:rsidR="00000000" w:rsidRDefault="00E10611">
      <w:r>
        <w:t>СПО - среднее профессиональное образование;</w:t>
      </w:r>
    </w:p>
    <w:p w:rsidR="00000000" w:rsidRDefault="00E10611">
      <w:r>
        <w:t>ФГОС СПО - федеральный государственный образовательный стандарт среднего профессио</w:t>
      </w:r>
      <w:r>
        <w:t>нального образования;</w:t>
      </w:r>
    </w:p>
    <w:p w:rsidR="00000000" w:rsidRDefault="00E10611">
      <w:r>
        <w:t>ППКРС - программа подготовки квалифицированных рабочих, служащих по профессии;</w:t>
      </w:r>
    </w:p>
    <w:p w:rsidR="00000000" w:rsidRDefault="00E10611">
      <w:r>
        <w:t>ОК - общая компетенция;</w:t>
      </w:r>
    </w:p>
    <w:p w:rsidR="00000000" w:rsidRDefault="00E10611">
      <w:r>
        <w:t>ПК - профессиональная компетенция;</w:t>
      </w:r>
    </w:p>
    <w:p w:rsidR="00000000" w:rsidRDefault="00E10611">
      <w:r>
        <w:t>ПМ - профессиональный модуль;</w:t>
      </w:r>
    </w:p>
    <w:p w:rsidR="00000000" w:rsidRDefault="00E10611">
      <w:r>
        <w:t>МДК - междисциплинарный курс.</w:t>
      </w:r>
    </w:p>
    <w:p w:rsidR="00000000" w:rsidRDefault="00E10611"/>
    <w:p w:rsidR="00000000" w:rsidRDefault="00E10611">
      <w:pPr>
        <w:pStyle w:val="1"/>
      </w:pPr>
      <w:bookmarkStart w:id="8" w:name="sub_1003"/>
      <w:r>
        <w:t>III. Характеристика подгото</w:t>
      </w:r>
      <w:r>
        <w:t>вки по профессии</w:t>
      </w:r>
    </w:p>
    <w:bookmarkEnd w:id="8"/>
    <w:p w:rsidR="00000000" w:rsidRDefault="00E10611"/>
    <w:p w:rsidR="00000000" w:rsidRDefault="00E10611">
      <w:bookmarkStart w:id="9" w:name="sub_31"/>
      <w:r>
        <w:t xml:space="preserve">3.1. Сроки получения СПО по профессии 260207.01 Аппаратчик получения растительного масла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E1061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611">
      <w:pPr>
        <w:pStyle w:val="a7"/>
        <w:rPr>
          <w:shd w:val="clear" w:color="auto" w:fill="F0F0F0"/>
        </w:rPr>
      </w:pPr>
      <w:bookmarkStart w:id="10" w:name="sub_10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0"/>
    <w:p w:rsidR="00000000" w:rsidRDefault="00E1061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E10611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E106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0"/>
        <w:gridCol w:w="4537"/>
        <w:gridCol w:w="2849"/>
      </w:tblGrid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(</w:t>
            </w:r>
            <w:hyperlink r:id="rId14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E10611">
              <w:rPr>
                <w:rFonts w:eastAsiaTheme="minorEastAsia"/>
              </w:rPr>
              <w:t>)</w:t>
            </w:r>
            <w:hyperlink w:anchor="sub_101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bookmarkStart w:id="11" w:name="sub_10010"/>
            <w:r w:rsidRPr="00E10611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Аппаратчик гидратации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Вальцов</w:t>
            </w:r>
            <w:r w:rsidRPr="00E10611">
              <w:rPr>
                <w:rFonts w:eastAsiaTheme="minorEastAsia"/>
              </w:rPr>
              <w:t>щик сырья и полуфабрикатов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Жаровщик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Машинист рушальных установок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Прессовщик-отжимщик пищевой продукции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Сушильщик пищевой продукции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2 года 10 мес.</w:t>
            </w:r>
            <w:hyperlink w:anchor="sub_10333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E10611"/>
    <w:p w:rsidR="00000000" w:rsidRDefault="00E10611">
      <w:bookmarkStart w:id="12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E10611">
      <w:bookmarkStart w:id="13" w:name="sub_10222"/>
      <w:bookmarkEnd w:id="12"/>
      <w:r>
        <w:t>** Независимо от применяемых образовательных технологий.</w:t>
      </w:r>
    </w:p>
    <w:p w:rsidR="00000000" w:rsidRDefault="00E10611">
      <w:bookmarkStart w:id="14" w:name="sub_10333"/>
      <w:bookmarkEnd w:id="13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4"/>
    <w:p w:rsidR="00000000" w:rsidRDefault="00E10611"/>
    <w:p w:rsidR="00000000" w:rsidRDefault="00E10611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E10611">
      <w:r>
        <w:t>сушильщик пищевой продукции - машинист рушальных установок - вальцовщик сырья и полуфабрикатов;</w:t>
      </w:r>
    </w:p>
    <w:p w:rsidR="00000000" w:rsidRDefault="00E10611">
      <w:r>
        <w:t>жаровщик - прессовщик-отжимщик пищевой продукции;</w:t>
      </w:r>
    </w:p>
    <w:p w:rsidR="00000000" w:rsidRDefault="00E10611">
      <w:r>
        <w:t>аппаратчик гидратации.</w:t>
      </w:r>
    </w:p>
    <w:p w:rsidR="00000000" w:rsidRDefault="00E10611">
      <w:r>
        <w:t>Сроки получени</w:t>
      </w:r>
      <w:r>
        <w:t>я СПО по ППКРС независимо от применяемых образовательных технологий увеличиваются:</w:t>
      </w:r>
    </w:p>
    <w:p w:rsidR="00000000" w:rsidRDefault="00E10611">
      <w:bookmarkStart w:id="16" w:name="sub_321"/>
      <w:r>
        <w:t>а) для обучающихся по очно-заочной форме обучения:</w:t>
      </w:r>
    </w:p>
    <w:bookmarkEnd w:id="16"/>
    <w:p w:rsidR="00000000" w:rsidRDefault="00E10611">
      <w:r>
        <w:t>на базе среднего общего образования - не более чем на 1 год;</w:t>
      </w:r>
    </w:p>
    <w:p w:rsidR="00000000" w:rsidRDefault="00E10611">
      <w:r>
        <w:t>на базе основного общего образования - не более</w:t>
      </w:r>
      <w:r>
        <w:t xml:space="preserve"> чем на 1,5 года;</w:t>
      </w:r>
    </w:p>
    <w:p w:rsidR="00000000" w:rsidRDefault="00E10611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E10611"/>
    <w:p w:rsidR="00000000" w:rsidRDefault="00E10611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E10611"/>
    <w:p w:rsidR="00000000" w:rsidRDefault="00E10611">
      <w:bookmarkStart w:id="19" w:name="sub_41"/>
      <w:r>
        <w:t>4.1. Область профессиональной деятельности выпускников: выполнение работ по производству растительного масла и сопутствующей продукции.</w:t>
      </w:r>
    </w:p>
    <w:p w:rsidR="00000000" w:rsidRDefault="00E10611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E10611">
      <w:r>
        <w:t xml:space="preserve">основное и вспомогательное сырье и </w:t>
      </w:r>
      <w:r>
        <w:t>материалы для производства растительного масла;</w:t>
      </w:r>
    </w:p>
    <w:p w:rsidR="00000000" w:rsidRDefault="00E10611">
      <w:r>
        <w:t xml:space="preserve">полуфабрикаты и отходы производства растительного масла: рушанка, целяк, ядро, лузга, шелуха, недоруш, сечка и масличная пыль (мучка), дробленка, жмых (лепесток и крупка), мятка, мезга, шрот, сырые фосфатиды </w:t>
      </w:r>
      <w:r>
        <w:t>(фосфолипиды);</w:t>
      </w:r>
    </w:p>
    <w:p w:rsidR="00000000" w:rsidRDefault="00E10611">
      <w:r>
        <w:t>готовая продукция: нерафинированные и рафинированные растительные масла; кормовые и фосфатидные концентраты;</w:t>
      </w:r>
    </w:p>
    <w:p w:rsidR="00000000" w:rsidRDefault="00E10611">
      <w:r>
        <w:t>технологическое оборудование для производства растительного масла и сопутствующей продукции;</w:t>
      </w:r>
    </w:p>
    <w:p w:rsidR="00000000" w:rsidRDefault="00E10611">
      <w:r>
        <w:t>технологические процессы и операции про</w:t>
      </w:r>
      <w:r>
        <w:t>изводства растительного масла и сопутствующей продукции.</w:t>
      </w:r>
    </w:p>
    <w:p w:rsidR="00000000" w:rsidRDefault="00E10611">
      <w:bookmarkStart w:id="21" w:name="sub_43"/>
      <w:r>
        <w:t>4.3. Обучающийся по профессии 260207.01 Аппаратчик получения растительного масла готовится к следующим видам деятельности:</w:t>
      </w:r>
    </w:p>
    <w:p w:rsidR="00000000" w:rsidRDefault="00E10611">
      <w:bookmarkStart w:id="22" w:name="sub_431"/>
      <w:bookmarkEnd w:id="21"/>
      <w:r>
        <w:t>4.3.1. Механическая обработка сырья и полуфабрикатов масл</w:t>
      </w:r>
      <w:r>
        <w:t>осемян.</w:t>
      </w:r>
    </w:p>
    <w:p w:rsidR="00000000" w:rsidRDefault="00E10611">
      <w:bookmarkStart w:id="23" w:name="sub_432"/>
      <w:bookmarkEnd w:id="22"/>
      <w:r>
        <w:t>4.3.2. Влаготепловая обработка мятки и жмыха.</w:t>
      </w:r>
    </w:p>
    <w:p w:rsidR="00000000" w:rsidRDefault="00E10611">
      <w:bookmarkStart w:id="24" w:name="sub_433"/>
      <w:bookmarkEnd w:id="23"/>
      <w:r>
        <w:t>4.3.3. Отжим масла.</w:t>
      </w:r>
    </w:p>
    <w:p w:rsidR="00000000" w:rsidRDefault="00E10611">
      <w:bookmarkStart w:id="25" w:name="sub_434"/>
      <w:bookmarkEnd w:id="24"/>
      <w:r>
        <w:t>4.3.4. Рафинация и дезодорация масла.</w:t>
      </w:r>
    </w:p>
    <w:p w:rsidR="00000000" w:rsidRDefault="00E10611">
      <w:bookmarkStart w:id="26" w:name="sub_435"/>
      <w:bookmarkEnd w:id="25"/>
      <w:r>
        <w:t>4.3.5. Фасовка и упаковка готовой продукции.</w:t>
      </w:r>
    </w:p>
    <w:bookmarkEnd w:id="26"/>
    <w:p w:rsidR="00000000" w:rsidRDefault="00E10611"/>
    <w:p w:rsidR="00000000" w:rsidRDefault="00E10611">
      <w:pPr>
        <w:pStyle w:val="1"/>
      </w:pPr>
      <w:bookmarkStart w:id="27" w:name="sub_1005"/>
      <w:r>
        <w:t>V. Требования к результатам</w:t>
      </w:r>
      <w:r>
        <w:t xml:space="preserve"> освоения программы подготовки квалифицированных рабочих, </w:t>
      </w:r>
      <w:r>
        <w:lastRenderedPageBreak/>
        <w:t>служащих</w:t>
      </w:r>
    </w:p>
    <w:bookmarkEnd w:id="27"/>
    <w:p w:rsidR="00000000" w:rsidRDefault="00E10611"/>
    <w:p w:rsidR="00000000" w:rsidRDefault="00E10611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E10611">
      <w:bookmarkStart w:id="29" w:name="sub_511"/>
      <w:bookmarkEnd w:id="28"/>
      <w:r>
        <w:t>ОК 1. Понимать сущность и социальную значимость будущей пр</w:t>
      </w:r>
      <w:r>
        <w:t>офессии, проявлять к ней устойчивый интерес.</w:t>
      </w:r>
    </w:p>
    <w:p w:rsidR="00000000" w:rsidRDefault="00E10611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E10611">
      <w:bookmarkStart w:id="31" w:name="sub_513"/>
      <w:bookmarkEnd w:id="30"/>
      <w:r>
        <w:t>ОК 3. Анализировать рабочую ситуацию, осуществлять текущий и итогов</w:t>
      </w:r>
      <w:r>
        <w:t>ый контроль, оценку и коррекцию собственной деятельности, нести ответственность за результаты своей работы.</w:t>
      </w:r>
    </w:p>
    <w:p w:rsidR="00000000" w:rsidRDefault="00E10611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E10611">
      <w:bookmarkStart w:id="33" w:name="sub_515"/>
      <w:bookmarkEnd w:id="32"/>
      <w:r>
        <w:t xml:space="preserve">ОК 5. Использовать </w:t>
      </w:r>
      <w:r>
        <w:t>информационно-коммуникационные технологии в профессиональной деятельности.</w:t>
      </w:r>
    </w:p>
    <w:p w:rsidR="00000000" w:rsidRDefault="00E10611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E10611">
      <w:bookmarkStart w:id="35" w:name="sub_517"/>
      <w:bookmarkEnd w:id="34"/>
      <w:r>
        <w:t>ОК 7. Исполнять воинскую обязанность, в том числе с применением получ</w:t>
      </w:r>
      <w:r>
        <w:t>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E10611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E10611">
      <w:bookmarkStart w:id="37" w:name="sub_521"/>
      <w:bookmarkEnd w:id="36"/>
      <w:r>
        <w:t xml:space="preserve">5.2.1. Механическая обработка сырья и </w:t>
      </w:r>
      <w:r>
        <w:t>полуфабрикатов маслосемян.</w:t>
      </w:r>
    </w:p>
    <w:p w:rsidR="00000000" w:rsidRDefault="00E10611">
      <w:bookmarkStart w:id="38" w:name="sub_5211"/>
      <w:bookmarkEnd w:id="37"/>
      <w:r>
        <w:t>ПК 1.1. Готовить сырье к обработке.</w:t>
      </w:r>
    </w:p>
    <w:p w:rsidR="00000000" w:rsidRDefault="00E10611">
      <w:bookmarkStart w:id="39" w:name="sub_5212"/>
      <w:bookmarkEnd w:id="38"/>
      <w:r>
        <w:t>ПК 1.2. Вести процесс грубого помола жмыха.</w:t>
      </w:r>
    </w:p>
    <w:p w:rsidR="00000000" w:rsidRDefault="00E10611">
      <w:bookmarkStart w:id="40" w:name="sub_5213"/>
      <w:bookmarkEnd w:id="39"/>
      <w:r>
        <w:t>ПК 1.3. Измельчать семена, ядро и жмых на вальцовых станках.</w:t>
      </w:r>
    </w:p>
    <w:p w:rsidR="00000000" w:rsidRDefault="00E10611">
      <w:bookmarkStart w:id="41" w:name="sub_5214"/>
      <w:bookmarkEnd w:id="40"/>
      <w:r>
        <w:t>ПК 1.4. Контролировать качество обрабатываемого сырья и полуфабрикатов.</w:t>
      </w:r>
    </w:p>
    <w:p w:rsidR="00000000" w:rsidRDefault="00E10611">
      <w:bookmarkStart w:id="42" w:name="sub_5215"/>
      <w:bookmarkEnd w:id="41"/>
      <w:r>
        <w:t>ПК 1.5. Проводить техническое обслуживание оборудования механической обработки сырья и полуфабрикатов.</w:t>
      </w:r>
    </w:p>
    <w:p w:rsidR="00000000" w:rsidRDefault="00E10611">
      <w:bookmarkStart w:id="43" w:name="sub_522"/>
      <w:bookmarkEnd w:id="42"/>
      <w:r>
        <w:t>5.2.2. Влаготепловая обработка мятки и жмыха.</w:t>
      </w:r>
    </w:p>
    <w:p w:rsidR="00000000" w:rsidRDefault="00E10611">
      <w:bookmarkStart w:id="44" w:name="sub_5221"/>
      <w:bookmarkEnd w:id="43"/>
      <w:r>
        <w:t>ПК 2.1. Контролировать и регулировать режим жарения мятки.</w:t>
      </w:r>
    </w:p>
    <w:p w:rsidR="00000000" w:rsidRDefault="00E10611">
      <w:bookmarkStart w:id="45" w:name="sub_5222"/>
      <w:bookmarkEnd w:id="44"/>
      <w:r>
        <w:t>ПК 2.2. Контролировать и регулировать режим влаготепловой обработки форпрессового жмыха.</w:t>
      </w:r>
    </w:p>
    <w:p w:rsidR="00000000" w:rsidRDefault="00E10611">
      <w:bookmarkStart w:id="46" w:name="sub_5223"/>
      <w:bookmarkEnd w:id="45"/>
      <w:r>
        <w:t>ПК 2.3. Контролировать и регулировать подачу мезги на прессование</w:t>
      </w:r>
      <w:r>
        <w:t>.</w:t>
      </w:r>
    </w:p>
    <w:p w:rsidR="00000000" w:rsidRDefault="00E10611">
      <w:bookmarkStart w:id="47" w:name="sub_5224"/>
      <w:bookmarkEnd w:id="46"/>
      <w:r>
        <w:t>ПК 2.4. Контролировать качество мезги.</w:t>
      </w:r>
    </w:p>
    <w:p w:rsidR="00000000" w:rsidRDefault="00E10611">
      <w:bookmarkStart w:id="48" w:name="sub_5225"/>
      <w:bookmarkEnd w:id="47"/>
      <w:r>
        <w:t>ПК 2.5. Проводить техническое обслуживание оборудования влаготепловой обработки.</w:t>
      </w:r>
    </w:p>
    <w:p w:rsidR="00000000" w:rsidRDefault="00E10611">
      <w:bookmarkStart w:id="49" w:name="sub_523"/>
      <w:bookmarkEnd w:id="48"/>
      <w:r>
        <w:t>5.2.3. Отжим масла.</w:t>
      </w:r>
    </w:p>
    <w:p w:rsidR="00000000" w:rsidRDefault="00E10611">
      <w:bookmarkStart w:id="50" w:name="sub_5231"/>
      <w:bookmarkEnd w:id="49"/>
      <w:r>
        <w:t>ПК 3.1. Отжимать масло из мезги (форпрессование).</w:t>
      </w:r>
    </w:p>
    <w:p w:rsidR="00000000" w:rsidRDefault="00E10611">
      <w:bookmarkStart w:id="51" w:name="sub_5232"/>
      <w:bookmarkEnd w:id="50"/>
      <w:r>
        <w:t>ПК 3.2. Отжимать масло из жмыха (экспеллирование).</w:t>
      </w:r>
    </w:p>
    <w:p w:rsidR="00000000" w:rsidRDefault="00E10611">
      <w:bookmarkStart w:id="52" w:name="sub_5233"/>
      <w:bookmarkEnd w:id="51"/>
      <w:r>
        <w:t>ПК 3.3. Регулировать работу оборудования по отжиму масла.</w:t>
      </w:r>
    </w:p>
    <w:p w:rsidR="00000000" w:rsidRDefault="00E10611">
      <w:bookmarkStart w:id="53" w:name="sub_5234"/>
      <w:bookmarkEnd w:id="52"/>
      <w:r>
        <w:t>ПК 3.4. Проводить техническое обслуживание оборудования по отжиму масла.</w:t>
      </w:r>
    </w:p>
    <w:p w:rsidR="00000000" w:rsidRDefault="00E10611">
      <w:bookmarkStart w:id="54" w:name="sub_524"/>
      <w:bookmarkEnd w:id="53"/>
      <w:r>
        <w:t>5.2.4. Рафина</w:t>
      </w:r>
      <w:r>
        <w:t>ция и дезодорация масла.</w:t>
      </w:r>
    </w:p>
    <w:p w:rsidR="00000000" w:rsidRDefault="00E10611">
      <w:bookmarkStart w:id="55" w:name="sub_5241"/>
      <w:bookmarkEnd w:id="54"/>
      <w:r>
        <w:t>ПК 4.1. Проводить рафинацию масла физическими и химическими методами, в том числе непрерывно.</w:t>
      </w:r>
    </w:p>
    <w:p w:rsidR="00000000" w:rsidRDefault="00E10611">
      <w:bookmarkStart w:id="56" w:name="sub_5242"/>
      <w:bookmarkEnd w:id="55"/>
      <w:r>
        <w:t>ПК 4.2. Проводить дезодорацию масла.</w:t>
      </w:r>
    </w:p>
    <w:p w:rsidR="00000000" w:rsidRDefault="00E10611">
      <w:bookmarkStart w:id="57" w:name="sub_5243"/>
      <w:bookmarkEnd w:id="56"/>
      <w:r>
        <w:t>ПК 4.3. Производить кормовые и фосфатидные концентрат</w:t>
      </w:r>
      <w:r>
        <w:t>ы.</w:t>
      </w:r>
    </w:p>
    <w:p w:rsidR="00000000" w:rsidRDefault="00E10611">
      <w:bookmarkStart w:id="58" w:name="sub_5244"/>
      <w:bookmarkEnd w:id="57"/>
      <w:r>
        <w:t>ПК 4.4. Проводить техническое обслуживание оборудования рафинирования и дезодорирования масла.</w:t>
      </w:r>
    </w:p>
    <w:p w:rsidR="00000000" w:rsidRDefault="00E10611">
      <w:bookmarkStart w:id="59" w:name="sub_525"/>
      <w:bookmarkEnd w:id="58"/>
      <w:r>
        <w:t>5.2.5. Фасовка и упаковка готовой продукции.</w:t>
      </w:r>
    </w:p>
    <w:p w:rsidR="00000000" w:rsidRDefault="00E10611">
      <w:bookmarkStart w:id="60" w:name="sub_5251"/>
      <w:bookmarkEnd w:id="59"/>
      <w:r>
        <w:t>ПК 5.1. Проводить расфасовку готовой продукции.</w:t>
      </w:r>
    </w:p>
    <w:p w:rsidR="00000000" w:rsidRDefault="00E10611">
      <w:bookmarkStart w:id="61" w:name="sub_5252"/>
      <w:bookmarkEnd w:id="60"/>
      <w:r>
        <w:t xml:space="preserve">ПК </w:t>
      </w:r>
      <w:r>
        <w:t>5.2. Проводить маркировку и упаковку готовой продукции.</w:t>
      </w:r>
    </w:p>
    <w:p w:rsidR="00000000" w:rsidRDefault="00E10611">
      <w:bookmarkStart w:id="62" w:name="sub_5253"/>
      <w:bookmarkEnd w:id="61"/>
      <w:r>
        <w:t>ПК 5.3. Проводить техническое обслуживание оборудования для фасовки и упаковки.</w:t>
      </w:r>
    </w:p>
    <w:bookmarkEnd w:id="62"/>
    <w:p w:rsidR="00000000" w:rsidRDefault="00E10611"/>
    <w:p w:rsidR="00000000" w:rsidRDefault="00E10611">
      <w:pPr>
        <w:pStyle w:val="1"/>
      </w:pPr>
      <w:bookmarkStart w:id="63" w:name="sub_1006"/>
      <w:r>
        <w:lastRenderedPageBreak/>
        <w:t>VI. Требования к структуре программы подготовки квалифицированных рабочих, служащих</w:t>
      </w:r>
    </w:p>
    <w:bookmarkEnd w:id="63"/>
    <w:p w:rsidR="00000000" w:rsidRDefault="00E10611"/>
    <w:p w:rsidR="00000000" w:rsidRDefault="00E10611">
      <w:bookmarkStart w:id="64" w:name="sub_61"/>
      <w:r>
        <w:t>6.1. ППКРС предусматривает изучение следующих учебных циклов:</w:t>
      </w:r>
    </w:p>
    <w:bookmarkEnd w:id="64"/>
    <w:p w:rsidR="00000000" w:rsidRDefault="00E10611">
      <w:r>
        <w:t>общепрофессионального;</w:t>
      </w:r>
    </w:p>
    <w:p w:rsidR="00000000" w:rsidRDefault="00E10611">
      <w:r>
        <w:t>профессионального</w:t>
      </w:r>
    </w:p>
    <w:p w:rsidR="00000000" w:rsidRDefault="00E10611">
      <w:r>
        <w:t>и разделов:</w:t>
      </w:r>
    </w:p>
    <w:p w:rsidR="00000000" w:rsidRDefault="00E10611">
      <w:r>
        <w:t>физическая культура;</w:t>
      </w:r>
    </w:p>
    <w:p w:rsidR="00000000" w:rsidRDefault="00E10611">
      <w:r>
        <w:t>учебная практика;</w:t>
      </w:r>
    </w:p>
    <w:p w:rsidR="00000000" w:rsidRDefault="00E10611">
      <w:r>
        <w:t>производственная практика;</w:t>
      </w:r>
    </w:p>
    <w:p w:rsidR="00000000" w:rsidRDefault="00E10611">
      <w:r>
        <w:t>промежуточная аттестация;</w:t>
      </w:r>
    </w:p>
    <w:p w:rsidR="00000000" w:rsidRDefault="00E10611">
      <w:r>
        <w:t>государственная итоговая аттестация.</w:t>
      </w:r>
    </w:p>
    <w:p w:rsidR="00000000" w:rsidRDefault="00E10611">
      <w:bookmarkStart w:id="65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</w:t>
      </w:r>
      <w:r>
        <w:t>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</w:t>
      </w:r>
      <w:r>
        <w:t>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5"/>
    <w:p w:rsidR="00000000" w:rsidRDefault="00E10611">
      <w:r>
        <w:t>Общепрофессиональный учебный цикл состоит из общепрофессиональных дисциплин, профессиональный учебный цикл состоит из проф</w:t>
      </w:r>
      <w:r>
        <w:t>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</w:t>
      </w:r>
      <w:r>
        <w:t>бная и (или) производственная практика.</w:t>
      </w:r>
    </w:p>
    <w:p w:rsidR="00000000" w:rsidRDefault="00E10611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</w:t>
      </w:r>
      <w:r>
        <w:t>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E10611">
      <w:bookmarkStart w:id="66" w:name="sub_63"/>
      <w:r>
        <w:t>6.3. Образовательной организацией п</w:t>
      </w:r>
      <w:r>
        <w:t>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6"/>
    <w:p w:rsidR="00000000" w:rsidRDefault="00E10611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1061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E10611">
      <w:pPr>
        <w:pStyle w:val="a7"/>
        <w:rPr>
          <w:shd w:val="clear" w:color="auto" w:fill="F0F0F0"/>
        </w:rPr>
      </w:pPr>
      <w:bookmarkStart w:id="67" w:name="sub_200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67"/>
    <w:p w:rsidR="00000000" w:rsidRDefault="00E10611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E10611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E10611"/>
    <w:p w:rsidR="00000000" w:rsidRDefault="00E10611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E106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600"/>
        <w:gridCol w:w="1680"/>
        <w:gridCol w:w="1680"/>
        <w:gridCol w:w="2800"/>
        <w:gridCol w:w="2240"/>
      </w:tblGrid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(час./нед.)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864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определять физические и химические свойства жиров и масел;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проводить качественные и количественные анализы сырья и готовой продукции;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характеристики липидов;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виды и основные природные источники жиров и масел;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свойства жирных кислот;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химические изменения жиров и масел в процессе </w:t>
            </w:r>
            <w:r w:rsidRPr="00E10611">
              <w:rPr>
                <w:rFonts w:eastAsiaTheme="minorEastAsia"/>
              </w:rPr>
              <w:lastRenderedPageBreak/>
              <w:t>хранения;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методы исследования жиров и масел;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методы технохимического контроля;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проведения качественного и количественного анализа образцов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ОП.01. Основы химии жиров и масел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основные группы микроорганизмов;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основные пищев</w:t>
            </w:r>
            <w:r w:rsidRPr="00E10611">
              <w:rPr>
                <w:rFonts w:eastAsiaTheme="minorEastAsia"/>
              </w:rPr>
              <w:t>ые инфекции и пищевые отравления;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 правила личной гигиены работников пищевых производств;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ориентироваться в общих вопросах экономики произ</w:t>
            </w:r>
            <w:r w:rsidRPr="00E10611">
              <w:rPr>
                <w:rFonts w:eastAsiaTheme="minorEastAsia"/>
              </w:rPr>
              <w:t>водства пищевой продукции;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применять экономические и правовые знания в конкретных производственных ситуациях;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защищать свои трудовые права в рамках действующего </w:t>
            </w:r>
            <w:hyperlink r:id="rId20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E10611">
              <w:rPr>
                <w:rFonts w:eastAsiaTheme="minorEastAsia"/>
              </w:rPr>
              <w:t>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принци</w:t>
            </w:r>
            <w:r w:rsidRPr="00E10611">
              <w:rPr>
                <w:rFonts w:eastAsiaTheme="minorEastAsia"/>
              </w:rPr>
              <w:t>пы рыночной экономики;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организационно-правовые формы организации;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E10611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формы оплаты т</w:t>
            </w:r>
            <w:r w:rsidRPr="00E10611">
              <w:rPr>
                <w:rFonts w:eastAsiaTheme="minorEastAsia"/>
              </w:rPr>
              <w:t>руда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ОП.03. Экономические и правовые основы производственной </w:t>
            </w:r>
            <w:r w:rsidRPr="00E10611">
              <w:rPr>
                <w:rFonts w:eastAsiaTheme="minorEastAsia"/>
              </w:rPr>
              <w:lastRenderedPageBreak/>
              <w:t>деятельности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применять первичные средст</w:t>
            </w:r>
            <w:r w:rsidRPr="00E10611">
              <w:rPr>
                <w:rFonts w:eastAsiaTheme="minorEastAsia"/>
              </w:rPr>
              <w:t>ва пожаротушения;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E10611">
              <w:rPr>
                <w:rFonts w:eastAsiaTheme="minorEastAsia"/>
              </w:rPr>
              <w:t>етствии с полученной профессией;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</w:t>
            </w:r>
            <w:r w:rsidRPr="00E10611">
              <w:rPr>
                <w:rFonts w:eastAsiaTheme="minorEastAsia"/>
              </w:rPr>
              <w:lastRenderedPageBreak/>
              <w:t>экстремальных условиях военной службы;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E10611">
              <w:rPr>
                <w:rFonts w:eastAsiaTheme="minorEastAsia"/>
              </w:rPr>
              <w:t>опасности России;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</w:t>
            </w:r>
            <w:r w:rsidRPr="00E10611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основные виды вооружения, во</w:t>
            </w:r>
            <w:r w:rsidRPr="00E10611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E10611">
              <w:rPr>
                <w:rFonts w:eastAsiaTheme="minorEastAsia"/>
              </w:rPr>
              <w:t>ей военной службы;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 xml:space="preserve"> - 3.4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602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602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Механическая обработка сырья и полуфабрикатов маслосемян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иметь практический опыт: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хранения и подготовки маслосемян к переработке;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очистки, шелушения и сушки зерна, бобовых и масличных семян;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обрушивания и измельчения маслосемян;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оценивать качество сырья и полуфабрикатов по органолептическим показателям;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измерять влажность сырья;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проводить его сушку до заданных параметров;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контролировать ход сушки;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процесс обрушивания семян;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разделять рушанку на фракции;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выполнять повторное о</w:t>
            </w:r>
            <w:r w:rsidRPr="00E10611">
              <w:rPr>
                <w:rFonts w:eastAsiaTheme="minorEastAsia"/>
              </w:rPr>
              <w:t>брушивание недоруша;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процесс измельчения семян, ядра, жмыха на вальцовочных станках;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определять готовность продукта и его качества;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обслуживать технологическое оборудование;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характеристики маслосодержащего сырья и требования к его качеству;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</w:t>
            </w:r>
            <w:r w:rsidRPr="00E10611">
              <w:rPr>
                <w:rFonts w:eastAsiaTheme="minorEastAsia"/>
              </w:rPr>
              <w:t>авила хранения и подготовки сырья к обработке;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технологические операции процесса сушки;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методы определения готовности сырья и </w:t>
            </w:r>
            <w:r w:rsidRPr="00E10611">
              <w:rPr>
                <w:rFonts w:eastAsiaTheme="minorEastAsia"/>
              </w:rPr>
              <w:lastRenderedPageBreak/>
              <w:t>полуфабрикатов;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состав и свойство рушанки;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к сырью, идущему на вальцевание;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характеристики мятки, технологические требо</w:t>
            </w:r>
            <w:r w:rsidRPr="00E10611">
              <w:rPr>
                <w:rFonts w:eastAsiaTheme="minorEastAsia"/>
              </w:rPr>
              <w:t>вания к продукту;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методы лабораторного контроля качества помола;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назначение, устройство и принцип работы сушилок, сушильных камер и барабанов, транспортных механизмов, вентиляционных и охладительных устройств, шелушилок, рушек, бичевых семенорушек, семенов</w:t>
            </w:r>
            <w:r w:rsidRPr="00E10611">
              <w:rPr>
                <w:rFonts w:eastAsiaTheme="minorEastAsia"/>
              </w:rPr>
              <w:t>еек, вальцовочных станков и машин, дробилок, вспомогательного оборудования, контрольно-измерительных приборов;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типичные неисправности оборудования, причины и способы их устранения;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безопасности при эксплуатации оборудования для сушки, обрушивани</w:t>
            </w:r>
            <w:r w:rsidRPr="00E10611">
              <w:rPr>
                <w:rFonts w:eastAsiaTheme="minorEastAsia"/>
              </w:rPr>
              <w:t>я и измельчения масличных семян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МДК.01.01. Технологии и оборудование для механической обработки сырья и полуфабрикатов маслосемян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Влаготепловая обработка мятки и жмыха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иметь практический опыт: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жарения мятки и жмыха;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настройки и регулирования режимов работы оборудования;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устранения мелких неполадок оборудования;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технологический процесс влаготепловой обработки мятки и жмыха в жаровнях и пропарочных шнеках;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выбирать, регулировать и контролировать режимы влаготепловой обработки мятки и жмыха;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вести технологический процесс получения лепестка и крупки для экстрак</w:t>
            </w:r>
            <w:r w:rsidRPr="00E10611">
              <w:rPr>
                <w:rFonts w:eastAsiaTheme="minorEastAsia"/>
              </w:rPr>
              <w:t>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определять готовность полуфабрикатов и их качества;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обслуживать технологическое оборудование;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этапы влаготепловой обработки;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методы увлажнения капельной влагой или водяным паром;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методы сушки;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характеристика мезги;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влажность и структура мезги, </w:t>
            </w:r>
            <w:r w:rsidRPr="00E10611">
              <w:rPr>
                <w:rFonts w:eastAsiaTheme="minorEastAsia"/>
              </w:rPr>
              <w:t>выходящей из жаровни;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режим приготовления мезги;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назначение, устройство и принцип работы жаровен, пропарочно-увлажнительных и распределительных шнеков, конденсационных горшков;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типичные неисправности оборудования, причины и способы их устранения;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</w:t>
            </w:r>
            <w:r w:rsidRPr="00E10611">
              <w:rPr>
                <w:rFonts w:eastAsiaTheme="minorEastAsia"/>
              </w:rPr>
              <w:t>я безопасности при эксплуатации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МДК.02.01. Технологии и оборудование для влаготепловой обработки мятки и жмыха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Отжим масла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В </w:t>
            </w:r>
            <w:r w:rsidRPr="00E10611">
              <w:rPr>
                <w:rFonts w:eastAsiaTheme="minorEastAsia"/>
              </w:rPr>
              <w:t>результате изучения профессионального модуля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иметь практический опыт: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отжима масла из мезги (форпрессования);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отжима масла из жмыха (экспеллирования);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настройки и регулирования режимов работы оборудования;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устранения мелких неполадок об</w:t>
            </w:r>
            <w:r w:rsidRPr="00E10611">
              <w:rPr>
                <w:rFonts w:eastAsiaTheme="minorEastAsia"/>
              </w:rPr>
              <w:t>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вести технологический процесс отжима масла из </w:t>
            </w:r>
            <w:r w:rsidRPr="00E10611">
              <w:rPr>
                <w:rFonts w:eastAsiaTheme="minorEastAsia"/>
              </w:rPr>
              <w:lastRenderedPageBreak/>
              <w:t>мезги;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технологический процесс отжима масла из жмыха;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выбирать, регулировать и контролировать режимы отжима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определять готовность продукта и его качества;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обслуживать технологическое оборудование;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технологические режимы выделения масла из масличного сырья;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технологические схемы прессования;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сущность процесса сжатия мезги;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требования, предъявляемые к качеству продукта прессования;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нормы выхода продукто</w:t>
            </w:r>
            <w:r w:rsidRPr="00E10611">
              <w:rPr>
                <w:rFonts w:eastAsiaTheme="minorEastAsia"/>
              </w:rPr>
              <w:t>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отбора проб;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назначение, устройство и принцип работы прессов, форпрессов, экспеллеров, транспортирующих устройств;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типичные неисправности оборудования, причины и способы их устранения;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безопасности при эксплуатации оборудования для вы</w:t>
            </w:r>
            <w:r w:rsidRPr="00E10611">
              <w:rPr>
                <w:rFonts w:eastAsiaTheme="minorEastAsia"/>
              </w:rPr>
              <w:t>деления масла из масличного сырья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МДК.03.01. Технологии и оборудование для выделения масла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Рафинация и дезодорация масла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результат</w:t>
            </w:r>
            <w:r w:rsidRPr="00E10611">
              <w:rPr>
                <w:rFonts w:eastAsiaTheme="minorEastAsia"/>
              </w:rPr>
              <w:t>е изучения профессионального модуля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иметь практический опыт: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рафинации и дезодорации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производства кормовых фосфатидных концентратов;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технического обслуживания оборудования для </w:t>
            </w:r>
            <w:r w:rsidRPr="00E10611">
              <w:rPr>
                <w:rFonts w:eastAsiaTheme="minorEastAsia"/>
              </w:rPr>
              <w:lastRenderedPageBreak/>
              <w:t>рафинирования и дезодорирования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п</w:t>
            </w:r>
            <w:r w:rsidRPr="00E10611">
              <w:rPr>
                <w:rFonts w:eastAsiaTheme="minorEastAsia"/>
              </w:rPr>
              <w:t>роцесс рафинации масла физическими и химическими методами;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проводить непрерывную рафинацию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вести процесс дезодорации и отбеливания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определять готовность продукта и его качества;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обслуживать технологическое оборудование для рафинирования и дезодорирования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ассортимент растительных масел;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технологию гидратации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сущность и последовательность операций физической и химической рафинации, дезодорации и отбеливания масл</w:t>
            </w:r>
            <w:r w:rsidRPr="00E10611">
              <w:rPr>
                <w:rFonts w:eastAsiaTheme="minorEastAsia"/>
              </w:rPr>
              <w:t>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особенности периодического и непрерывного способов гидратации;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технологию производства кормовых и фосфатидных концентратов;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требования, предъявляемые к качеству масла, поступающего на гидратацию и выходящему из гидратации;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нормы выхода готовой продукции</w:t>
            </w:r>
            <w:r w:rsidRPr="00E10611">
              <w:rPr>
                <w:rFonts w:eastAsiaTheme="minorEastAsia"/>
              </w:rPr>
              <w:t>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отбора проб;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назначение, устройство и принцип работы оборудования для рафинирования и дезодорирования масла;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типичные неисправности оборудования, причины и способы их устранения;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безопасности при эксплуатации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МДК.04.01. </w:t>
            </w:r>
            <w:r w:rsidRPr="00E10611">
              <w:rPr>
                <w:rFonts w:eastAsiaTheme="minorEastAsia"/>
              </w:rPr>
              <w:t>Технология и оборудование для рафинации и дезодорации масла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Фасовка и упаковка готовой продукции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иметь практический опыт: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фасовки и упаковки готовой продукции на технологическом оборудовании и вручную;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устранения мелких неполадок фасовочного и упаковочного оборудования;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контролировать качество готовой продукции по органолептическим показателям </w:t>
            </w:r>
            <w:r w:rsidRPr="00E10611">
              <w:rPr>
                <w:rFonts w:eastAsiaTheme="minorEastAsia"/>
              </w:rPr>
              <w:t>и при помощи контрольно-измерительных приборов;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фасовать и упаковывать готовую продукцию различными способами;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обслуживать фасовочное и упаковочное оборудование;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виды тары для упаковки;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требования к упаковке и маркировке изделий;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и способы наладки и регулирования режимов работы упаковочного оборудования;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типичные неисправности оборудования, причины и способы их устранения;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правила безопасности при эксплуатации фасовочного и упаков</w:t>
            </w:r>
            <w:r w:rsidRPr="00E10611">
              <w:rPr>
                <w:rFonts w:eastAsiaTheme="minorEastAsia"/>
              </w:rPr>
              <w:t>очного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 xml:space="preserve">МДК.05.01. Технология </w:t>
            </w:r>
            <w:r w:rsidRPr="00E10611">
              <w:rPr>
                <w:rFonts w:eastAsiaTheme="minorEastAsia"/>
              </w:rPr>
              <w:lastRenderedPageBreak/>
              <w:t>и оборудование для расфасовывания и упаковывания готовой продукции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Физическая культура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уметь: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знать: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 роли физической культуры в общекультурном</w:t>
            </w:r>
            <w:r w:rsidRPr="00E10611">
              <w:rPr>
                <w:rFonts w:eastAsiaTheme="minorEastAsia"/>
              </w:rPr>
              <w:t>, профессиональном и социальном развитии человека;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2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3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6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7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bookmarkStart w:id="68" w:name="sub_5001"/>
            <w:r w:rsidRPr="00E10611">
              <w:rPr>
                <w:rFonts w:eastAsiaTheme="minorEastAsia"/>
              </w:rPr>
              <w:t>УП.00</w:t>
            </w:r>
            <w:bookmarkEnd w:id="68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19 нед./39 нед.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1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2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3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4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hyperlink w:anchor="sub_5251" w:history="1">
              <w:r w:rsidRPr="00E10611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bookmarkStart w:id="69" w:name="sub_5002"/>
            <w:r w:rsidRPr="00E10611">
              <w:rPr>
                <w:rFonts w:eastAsiaTheme="minorEastAsia"/>
              </w:rPr>
              <w:t>ПП.00</w:t>
            </w:r>
            <w:bookmarkEnd w:id="69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bookmarkStart w:id="70" w:name="sub_5003"/>
            <w:r w:rsidRPr="00E10611">
              <w:rPr>
                <w:rFonts w:eastAsiaTheme="minorEastAsia"/>
              </w:rPr>
              <w:t>ПА.00</w:t>
            </w:r>
            <w:bookmarkEnd w:id="70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bookmarkStart w:id="71" w:name="sub_5004"/>
            <w:r w:rsidRPr="00E10611">
              <w:rPr>
                <w:rFonts w:eastAsiaTheme="minorEastAsia"/>
              </w:rPr>
              <w:t>ГИА.00</w:t>
            </w:r>
            <w:bookmarkEnd w:id="71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E10611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1061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E10611">
      <w:pPr>
        <w:pStyle w:val="a7"/>
        <w:rPr>
          <w:shd w:val="clear" w:color="auto" w:fill="F0F0F0"/>
        </w:rPr>
      </w:pPr>
      <w:bookmarkStart w:id="72" w:name="sub_300"/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72"/>
    <w:p w:rsidR="00000000" w:rsidRDefault="00E10611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E10611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E10611"/>
    <w:p w:rsidR="00000000" w:rsidRDefault="00E10611">
      <w:r>
        <w:t>Срок получения среднего профессионального образов</w:t>
      </w:r>
      <w:r>
        <w:t>ания по ППКРС в очной форме обучения составляет 43/65 недель, в том числе:</w:t>
      </w:r>
    </w:p>
    <w:p w:rsidR="00000000" w:rsidRDefault="00E106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0"/>
        <w:gridCol w:w="2268"/>
      </w:tblGrid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20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19 нед./39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 нед./2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Г</w:t>
            </w:r>
            <w:r w:rsidRPr="00E10611">
              <w:rPr>
                <w:rFonts w:eastAsiaTheme="minorEastAsia"/>
              </w:rPr>
              <w:t>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1 нед./2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2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611" w:rsidRDefault="00E10611">
            <w:pPr>
              <w:pStyle w:val="aa"/>
              <w:jc w:val="center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E10611"/>
    <w:p w:rsidR="00000000" w:rsidRDefault="00E10611">
      <w:pPr>
        <w:pStyle w:val="1"/>
      </w:pPr>
      <w:bookmarkStart w:id="73" w:name="sub_1007"/>
      <w:r>
        <w:t>VII. Требования к условиям реализации программы подготовки квалифицированных рабочих, служащих</w:t>
      </w:r>
    </w:p>
    <w:bookmarkEnd w:id="73"/>
    <w:p w:rsidR="00000000" w:rsidRDefault="00E10611"/>
    <w:p w:rsidR="00000000" w:rsidRDefault="00E1061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E10611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390 в пункт 7.1 внесены изменения</w:t>
      </w:r>
    </w:p>
    <w:p w:rsidR="00000000" w:rsidRDefault="00E10611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10611">
      <w:r>
        <w:t>7.1. Образовательная организация самостоятельно разрабатывает и утверждает ППКРС в соответствии с ФГОС СПО, опреде</w:t>
      </w:r>
      <w:r>
        <w:t xml:space="preserve">ляя профессию или группу профессий рабочих (должностей служащих) по </w:t>
      </w:r>
      <w:hyperlink r:id="rId28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</w:t>
      </w:r>
      <w:r>
        <w:t>четом соответствующей примерной ППКРС.</w:t>
      </w:r>
    </w:p>
    <w:p w:rsidR="00000000" w:rsidRDefault="00E10611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</w:t>
      </w:r>
      <w:r>
        <w:t>ия в виде компетенций, умений и знаний, приобретаемого практического опыта.</w:t>
      </w:r>
    </w:p>
    <w:p w:rsidR="00000000" w:rsidRDefault="00E10611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10611">
      <w:r>
        <w:t>П</w:t>
      </w:r>
      <w:r>
        <w:t>ри формировании ППКРС образовательная организация:</w:t>
      </w:r>
    </w:p>
    <w:p w:rsidR="00000000" w:rsidRDefault="00E10611">
      <w:bookmarkStart w:id="75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</w:t>
      </w:r>
      <w:r>
        <w:t>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75"/>
    <w:p w:rsidR="00000000" w:rsidRDefault="00E10611">
      <w:r>
        <w:t>обязана ежегодно обновлять ППКРС с учетом запросов работодателей, особенностей развития региона, науки, культуры</w:t>
      </w:r>
      <w:r>
        <w:t>, экономики, техники, технологий и социальной сферы в рамках, установленных настоящим ФГОС СПО;</w:t>
      </w:r>
    </w:p>
    <w:p w:rsidR="00000000" w:rsidRDefault="00E10611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</w:t>
      </w:r>
      <w:r>
        <w:t>актическому опыту, знаниям и умениям;</w:t>
      </w:r>
    </w:p>
    <w:p w:rsidR="00000000" w:rsidRDefault="00E10611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10611">
      <w:r>
        <w:t>обязана обеспечивать обучающимся возмо</w:t>
      </w:r>
      <w:r>
        <w:t>жность участвовать в формировании индивидуальной образовательной программы;</w:t>
      </w:r>
    </w:p>
    <w:p w:rsidR="00000000" w:rsidRDefault="00E10611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</w:t>
      </w:r>
      <w:r>
        <w:t>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E10611">
      <w:r>
        <w:t>должна предусматривать при реализации компетентностного подхода использование в</w:t>
      </w:r>
      <w:r>
        <w:t xml:space="preserve">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</w:t>
      </w:r>
      <w:r>
        <w:t>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E10611">
      <w:bookmarkStart w:id="76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E10611">
      <w:bookmarkStart w:id="77" w:name="sub_73"/>
      <w:bookmarkEnd w:id="76"/>
      <w:r>
        <w:t>7.3. Максимальный объем учебной нагрузки обучающегося составляет 54 академических часа в недел</w:t>
      </w:r>
      <w:r>
        <w:t>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E10611">
      <w:bookmarkStart w:id="78" w:name="sub_74"/>
      <w:bookmarkEnd w:id="7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10611">
      <w:bookmarkStart w:id="79" w:name="sub_75"/>
      <w:bookmarkEnd w:id="7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E10611">
      <w:bookmarkStart w:id="80" w:name="sub_76"/>
      <w:bookmarkEnd w:id="79"/>
      <w:r>
        <w:t>7.6. Общая продолжительность каникул составляет не менее 10 недель в учебном году при сроке обучения более 1 года и н</w:t>
      </w:r>
      <w:r>
        <w:t>е менее 2 недель в зимний период при сроке обучения 1 год.</w:t>
      </w:r>
    </w:p>
    <w:p w:rsidR="00000000" w:rsidRDefault="00E10611">
      <w:bookmarkStart w:id="81" w:name="sub_77"/>
      <w:bookmarkEnd w:id="8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</w:t>
      </w:r>
      <w:r>
        <w:t>ных занятий в спортивных клубах, секциях).</w:t>
      </w:r>
    </w:p>
    <w:p w:rsidR="00000000" w:rsidRDefault="00E10611">
      <w:bookmarkStart w:id="82" w:name="sub_78"/>
      <w:bookmarkEnd w:id="81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</w:t>
      </w:r>
      <w:r>
        <w:t>а освоение основ медицинских знаний.</w:t>
      </w:r>
    </w:p>
    <w:p w:rsidR="00000000" w:rsidRDefault="00E10611">
      <w:bookmarkStart w:id="83" w:name="sub_79"/>
      <w:bookmarkEnd w:id="82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</w:t>
      </w:r>
      <w:r>
        <w:t>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83"/>
    <w:p w:rsidR="00000000" w:rsidRDefault="00E10611">
      <w:r>
        <w:t>Срок освоения ППКРС в очной форме обучения</w:t>
      </w:r>
      <w:r>
        <w:t xml:space="preserve"> для лиц, обучающихся на базе основного общего образования, увеличивается на 82 недели из расчета:</w:t>
      </w:r>
    </w:p>
    <w:p w:rsidR="00000000" w:rsidRDefault="00E106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57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3 нед.</w:t>
            </w:r>
          </w:p>
        </w:tc>
      </w:tr>
      <w:tr w:rsidR="00000000" w:rsidRPr="00E1061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10611" w:rsidRDefault="00E10611">
            <w:pPr>
              <w:pStyle w:val="ac"/>
              <w:rPr>
                <w:rFonts w:eastAsiaTheme="minorEastAsia"/>
              </w:rPr>
            </w:pPr>
            <w:r w:rsidRPr="00E10611">
              <w:rPr>
                <w:rFonts w:eastAsiaTheme="minorEastAsia"/>
              </w:rPr>
              <w:t>22 нед.</w:t>
            </w:r>
          </w:p>
        </w:tc>
      </w:tr>
    </w:tbl>
    <w:p w:rsidR="00000000" w:rsidRDefault="00E10611"/>
    <w:p w:rsidR="00000000" w:rsidRDefault="00E10611">
      <w:bookmarkStart w:id="84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10611">
      <w:bookmarkStart w:id="85" w:name="sub_711"/>
      <w:bookmarkEnd w:id="84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E10611">
      <w:bookmarkStart w:id="86" w:name="sub_712"/>
      <w:bookmarkEnd w:id="8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6"/>
    <w:p w:rsidR="00000000" w:rsidRDefault="00E10611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E1061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1061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E1061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10611">
      <w:bookmarkStart w:id="87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10611">
      <w:bookmarkStart w:id="88" w:name="sub_714"/>
      <w:bookmarkEnd w:id="87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88"/>
    <w:p w:rsidR="00000000" w:rsidRDefault="00E10611">
      <w:r>
        <w:t xml:space="preserve">Внеаудиторная работа должна сопровождаться методическим обеспечением и обоснованием расчета времени, </w:t>
      </w:r>
      <w:r>
        <w:t>затрачиваемого на ее выполнение.</w:t>
      </w:r>
    </w:p>
    <w:p w:rsidR="00000000" w:rsidRDefault="00E10611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</w:t>
      </w:r>
      <w:r>
        <w:t>ь обеспечены доступом к сети Интернет.</w:t>
      </w:r>
    </w:p>
    <w:p w:rsidR="00000000" w:rsidRDefault="00E10611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</w:t>
      </w:r>
      <w:r>
        <w:t>изданием по каждому междисциплинарному курсу (включая электронные базы периодических изданий).</w:t>
      </w:r>
    </w:p>
    <w:p w:rsidR="00000000" w:rsidRDefault="00E1061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</w:t>
      </w:r>
      <w:r>
        <w:t>в, изданными за последние 5 лет.</w:t>
      </w:r>
    </w:p>
    <w:p w:rsidR="00000000" w:rsidRDefault="00E10611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E10611">
      <w:r>
        <w:t>Каждому обучающемуся должен быть обеспечен д</w:t>
      </w:r>
      <w:r>
        <w:t>оступ к комплектам библиотечного фонда, состоящим не менее чем из 3 наименований отечественных журналов.</w:t>
      </w:r>
    </w:p>
    <w:p w:rsidR="00000000" w:rsidRDefault="00E10611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</w:t>
      </w:r>
      <w:r>
        <w:t>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E10611">
      <w:bookmarkStart w:id="89" w:name="sub_715"/>
      <w:r>
        <w:t>7.15. Прием на обучение по ППКРС за счет бюджетных ассигнований федерального бюджета, бюджетов субъектов Российской Федерации и</w:t>
      </w:r>
      <w:r>
        <w:t xml:space="preserve"> местных бюджетов является общедоступным, если иное не предусмотрено </w:t>
      </w:r>
      <w:hyperlink r:id="rId3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10611">
      <w:bookmarkStart w:id="90" w:name="sub_716"/>
      <w:bookmarkEnd w:id="89"/>
      <w:r>
        <w:t>7.16. Образовательная орг</w:t>
      </w:r>
      <w:r>
        <w:t>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</w:t>
      </w:r>
      <w:r>
        <w:t>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90"/>
    <w:p w:rsidR="00000000" w:rsidRDefault="00E10611"/>
    <w:p w:rsidR="00000000" w:rsidRDefault="00E10611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E10611"/>
    <w:p w:rsidR="00000000" w:rsidRDefault="00E10611">
      <w:r>
        <w:t>Кабинеты:</w:t>
      </w:r>
    </w:p>
    <w:p w:rsidR="00000000" w:rsidRDefault="00E10611">
      <w:r>
        <w:t>технологии производства раститель</w:t>
      </w:r>
      <w:r>
        <w:t>ного масла;</w:t>
      </w:r>
    </w:p>
    <w:p w:rsidR="00000000" w:rsidRDefault="00E10611">
      <w:r>
        <w:t>технологического оборудования производства растительного масла;</w:t>
      </w:r>
    </w:p>
    <w:p w:rsidR="00000000" w:rsidRDefault="00E10611">
      <w:r>
        <w:t>безопасности жизнедеятельности и охраны труда.</w:t>
      </w:r>
    </w:p>
    <w:p w:rsidR="00000000" w:rsidRDefault="00E10611">
      <w:r>
        <w:t>Лаборатории:</w:t>
      </w:r>
    </w:p>
    <w:p w:rsidR="00000000" w:rsidRDefault="00E10611">
      <w:r>
        <w:t>микробиологии, санитарии и гигиены;</w:t>
      </w:r>
    </w:p>
    <w:p w:rsidR="00000000" w:rsidRDefault="00E10611">
      <w:r>
        <w:t>технохимического контроля.</w:t>
      </w:r>
    </w:p>
    <w:p w:rsidR="00000000" w:rsidRDefault="00E10611">
      <w:r>
        <w:t>Спортивный комплекс:</w:t>
      </w:r>
    </w:p>
    <w:p w:rsidR="00000000" w:rsidRDefault="00E10611">
      <w:r>
        <w:t>спортивный зал;</w:t>
      </w:r>
    </w:p>
    <w:p w:rsidR="00000000" w:rsidRDefault="00E10611">
      <w:r>
        <w:t>открытый стадион шир</w:t>
      </w:r>
      <w:r>
        <w:t>окого профиля с элементами полосы препятствий;</w:t>
      </w:r>
    </w:p>
    <w:p w:rsidR="00000000" w:rsidRDefault="00E10611">
      <w:r>
        <w:t>стрелковый тир (в любой модификации, включая электронный) или место для стрельбы.</w:t>
      </w:r>
    </w:p>
    <w:p w:rsidR="00000000" w:rsidRDefault="00E10611">
      <w:r>
        <w:t>Залы:</w:t>
      </w:r>
    </w:p>
    <w:p w:rsidR="00000000" w:rsidRDefault="00E10611">
      <w:r>
        <w:t>библиотека, читальный зал с выходом в сеть Интернет;</w:t>
      </w:r>
    </w:p>
    <w:p w:rsidR="00000000" w:rsidRDefault="00E10611">
      <w:r>
        <w:t>актовый зал.</w:t>
      </w:r>
    </w:p>
    <w:p w:rsidR="00000000" w:rsidRDefault="00E10611">
      <w:r>
        <w:t>Реализация ППКРС должна обеспечивать:</w:t>
      </w:r>
    </w:p>
    <w:p w:rsidR="00000000" w:rsidRDefault="00E10611">
      <w:r>
        <w:t>выполнение обучаю</w:t>
      </w:r>
      <w:r>
        <w:t>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E10611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E10611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E10611">
      <w:bookmarkStart w:id="91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1"/>
    <w:p w:rsidR="00000000" w:rsidRDefault="00E10611">
      <w:r>
        <w:t>Реализация ППКРС образовательной организацией, распол</w:t>
      </w:r>
      <w:r>
        <w:t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10611"/>
    <w:p w:rsidR="00000000" w:rsidRDefault="00E10611">
      <w:pPr>
        <w:pStyle w:val="1"/>
      </w:pPr>
      <w:bookmarkStart w:id="92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92"/>
    <w:p w:rsidR="00000000" w:rsidRDefault="00E10611"/>
    <w:p w:rsidR="00000000" w:rsidRDefault="00E10611">
      <w:bookmarkStart w:id="93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E10611">
      <w:bookmarkStart w:id="94" w:name="sub_82"/>
      <w:bookmarkEnd w:id="93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E10611">
      <w:bookmarkStart w:id="95" w:name="sub_83"/>
      <w:bookmarkEnd w:id="94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5"/>
    <w:p w:rsidR="00000000" w:rsidRDefault="00E10611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10611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10611">
      <w:bookmarkStart w:id="96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96"/>
    <w:p w:rsidR="00000000" w:rsidRDefault="00E10611">
      <w:r>
        <w:t>оценка уровня освоения дисциплин;</w:t>
      </w:r>
    </w:p>
    <w:p w:rsidR="00000000" w:rsidRDefault="00E10611">
      <w:r>
        <w:t>оценка компетенций обучающихся.</w:t>
      </w:r>
    </w:p>
    <w:p w:rsidR="00000000" w:rsidRDefault="00E10611">
      <w:r>
        <w:t>Для юношей предусматривается оценка результатов освоения основ военной службы.</w:t>
      </w:r>
    </w:p>
    <w:p w:rsidR="00000000" w:rsidRDefault="00E10611">
      <w:bookmarkStart w:id="97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E10611">
      <w:bookmarkStart w:id="98" w:name="sub_86"/>
      <w:bookmarkEnd w:id="97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</w:t>
      </w:r>
      <w:r>
        <w:t>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</w:t>
      </w:r>
      <w:r>
        <w:t>же разряда по профессии рабочего, предусмотренного ФГОС СПО.</w:t>
      </w:r>
    </w:p>
    <w:bookmarkEnd w:id="98"/>
    <w:p w:rsidR="00000000" w:rsidRDefault="00E10611">
      <w:r>
        <w:t>Государственный экзамен вводится по усмотрению образовательной организации.</w:t>
      </w:r>
    </w:p>
    <w:p w:rsidR="00000000" w:rsidRDefault="00E10611">
      <w:bookmarkStart w:id="99" w:name="sub_87"/>
      <w:r>
        <w:t xml:space="preserve">8.7. Обучающиеся по ППКРС, не имеющие среднего общего образования, в соответствии с </w:t>
      </w:r>
      <w:hyperlink r:id="rId32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</w:t>
      </w:r>
      <w:r>
        <w:t xml:space="preserve">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</w:t>
      </w:r>
      <w:r>
        <w:lastRenderedPageBreak/>
        <w:t>образовательной организацией обучающимся выдается аттестат о среднем общем образовании.</w:t>
      </w:r>
    </w:p>
    <w:bookmarkEnd w:id="99"/>
    <w:p w:rsidR="00000000" w:rsidRDefault="00E10611"/>
    <w:p w:rsidR="00000000" w:rsidRDefault="00E10611">
      <w:pPr>
        <w:pStyle w:val="ac"/>
      </w:pPr>
      <w:r>
        <w:t>_</w:t>
      </w:r>
      <w:r>
        <w:t>_____________________________</w:t>
      </w:r>
    </w:p>
    <w:p w:rsidR="00000000" w:rsidRDefault="00E10611">
      <w:bookmarkStart w:id="100" w:name="sub_111"/>
      <w:r>
        <w:t xml:space="preserve">*(1) </w:t>
      </w:r>
      <w:hyperlink r:id="rId33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</w:t>
      </w:r>
      <w:r>
        <w:t>й Федерации, 2012, N 53, ст. 7598; 2013, N 19, ст. 2326).</w:t>
      </w:r>
    </w:p>
    <w:p w:rsidR="00000000" w:rsidRDefault="00E10611">
      <w:bookmarkStart w:id="101" w:name="sub_222"/>
      <w:bookmarkEnd w:id="100"/>
      <w:r>
        <w:t xml:space="preserve">*(2)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E10611">
      <w:bookmarkStart w:id="102" w:name="sub_333"/>
      <w:bookmarkEnd w:id="101"/>
      <w:r>
        <w:t>*</w:t>
      </w:r>
      <w:r>
        <w:t>(3) Собрание законодательства Российской Федерации, 2012, N 53, ст. 7598; 2013, N 19, ст. 2326.</w:t>
      </w:r>
    </w:p>
    <w:p w:rsidR="00000000" w:rsidRDefault="00E10611">
      <w:bookmarkStart w:id="103" w:name="sub_444"/>
      <w:bookmarkEnd w:id="102"/>
      <w:r>
        <w:t xml:space="preserve">*(4)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</w:t>
      </w:r>
      <w:r>
        <w:t>53-Ф3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E10611">
      <w:bookmarkStart w:id="104" w:name="sub_555"/>
      <w:bookmarkEnd w:id="103"/>
      <w:r>
        <w:t xml:space="preserve">*(5)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</w:t>
      </w:r>
      <w:r>
        <w:t>. 2326).</w:t>
      </w:r>
    </w:p>
    <w:bookmarkEnd w:id="104"/>
    <w:p w:rsidR="00E10611" w:rsidRDefault="00E10611"/>
    <w:sectPr w:rsidR="00E10611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611" w:rsidRDefault="00E10611" w:rsidP="008B0E85">
      <w:r>
        <w:separator/>
      </w:r>
    </w:p>
  </w:endnote>
  <w:endnote w:type="continuationSeparator" w:id="0">
    <w:p w:rsidR="00E10611" w:rsidRDefault="00E1061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E106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D5F7A" w:rsidRPr="00E1061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E106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16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D5F7A" w:rsidRPr="00E1061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E106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611" w:rsidRDefault="00E1061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D5F7A"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D5F7A" w:rsidRPr="00E1061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1061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D5F7A" w:rsidRPr="00E1061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611" w:rsidRDefault="00E10611" w:rsidP="008B0E85">
      <w:r>
        <w:separator/>
      </w:r>
    </w:p>
  </w:footnote>
  <w:footnote w:type="continuationSeparator" w:id="0">
    <w:p w:rsidR="00E10611" w:rsidRDefault="00E1061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061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786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061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</w:t>
    </w:r>
    <w:r>
      <w:rPr>
        <w:rFonts w:ascii="Times New Roman" w:hAnsi="Times New Roman" w:cs="Times New Roman"/>
        <w:sz w:val="20"/>
        <w:szCs w:val="20"/>
      </w:rPr>
      <w:t>3 г. N 786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061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F7A"/>
    <w:rsid w:val="004D5F7A"/>
    <w:rsid w:val="00E1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D5F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5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073/100" TargetMode="External"/><Relationship Id="rId18" Type="http://schemas.openxmlformats.org/officeDocument/2006/relationships/hyperlink" Target="http://ivo.garant.ru/document/redirect/71018072/225" TargetMode="External"/><Relationship Id="rId26" Type="http://schemas.openxmlformats.org/officeDocument/2006/relationships/hyperlink" Target="http://ivo.garant.ru/document/redirect/71018072/227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178405/0" TargetMode="External"/><Relationship Id="rId7" Type="http://schemas.openxmlformats.org/officeDocument/2006/relationships/hyperlink" Target="http://ivo.garant.ru/document/redirect/70444140/0" TargetMode="External"/><Relationship Id="rId12" Type="http://schemas.openxmlformats.org/officeDocument/2006/relationships/hyperlink" Target="http://ivo.garant.ru/document/redirect/71018072/224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073/300" TargetMode="External"/><Relationship Id="rId33" Type="http://schemas.openxmlformats.org/officeDocument/2006/relationships/hyperlink" Target="http://ivo.garant.ru/document/redirect/70291362/108197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291362/4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26" TargetMode="External"/><Relationship Id="rId32" Type="http://schemas.openxmlformats.org/officeDocument/2006/relationships/hyperlink" Target="http://ivo.garant.ru/document/redirect/70291362/10879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1548770/0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198922/0" TargetMode="External"/><Relationship Id="rId19" Type="http://schemas.openxmlformats.org/officeDocument/2006/relationships/hyperlink" Target="http://ivo.garant.ru/document/redirect/57505073/200" TargetMode="Externa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57505073/71" TargetMode="Externa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6664</Words>
  <Characters>37986</Characters>
  <Application>Microsoft Office Word</Application>
  <DocSecurity>0</DocSecurity>
  <Lines>316</Lines>
  <Paragraphs>89</Paragraphs>
  <ScaleCrop>false</ScaleCrop>
  <Company>НПП "Гарант-Сервис"</Company>
  <LinksUpToDate>false</LinksUpToDate>
  <CharactersWithSpaces>44561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2020-04-02T10:53:00Z</dcterms:created>
  <dcterms:modified xsi:type="dcterms:W3CDTF">2020-04-02T10:53:00Z</dcterms:modified>
</cp:coreProperties>
</file>